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24" w:rsidRPr="00C839E1" w:rsidRDefault="005F5D24" w:rsidP="00C839E1">
      <w:pPr>
        <w:rPr>
          <w:rFonts w:ascii="Arial" w:hAnsi="Arial" w:cs="Arial"/>
        </w:rPr>
      </w:pPr>
    </w:p>
    <w:p w:rsidR="005F5D24" w:rsidRPr="00C839E1" w:rsidRDefault="005F5D24" w:rsidP="00C839E1">
      <w:pPr>
        <w:rPr>
          <w:rFonts w:ascii="Arial" w:hAnsi="Arial" w:cs="Arial"/>
        </w:rPr>
      </w:pPr>
    </w:p>
    <w:p w:rsidR="005F5D24" w:rsidRPr="00C839E1" w:rsidRDefault="005F5D24" w:rsidP="00C839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1D6575" w:rsidRPr="00F92A57" w:rsidTr="00F83C6B">
        <w:tc>
          <w:tcPr>
            <w:tcW w:w="9288" w:type="dxa"/>
            <w:gridSpan w:val="2"/>
            <w:shd w:val="clear" w:color="auto" w:fill="FF0000"/>
          </w:tcPr>
          <w:p w:rsidR="001D6575" w:rsidRPr="00420029" w:rsidRDefault="001D6575" w:rsidP="00F83C6B">
            <w:pPr>
              <w:jc w:val="center"/>
              <w:rPr>
                <w:rFonts w:ascii="Arial" w:hAnsi="Arial" w:cs="Arial"/>
                <w:b/>
                <w:color w:val="FFFFFF"/>
                <w:sz w:val="36"/>
                <w:szCs w:val="36"/>
                <w:lang w:val="en-US"/>
              </w:rPr>
            </w:pPr>
            <w:r>
              <w:rPr>
                <w:rFonts w:ascii="Arial" w:hAnsi="Arial" w:cs="Arial"/>
                <w:b/>
                <w:bCs/>
                <w:color w:val="FFFFFF"/>
                <w:sz w:val="36"/>
                <w:szCs w:val="36"/>
                <w:lang w:val="en-GB"/>
              </w:rPr>
              <w:t>Operating instructions</w:t>
            </w:r>
          </w:p>
          <w:p w:rsidR="001D6575" w:rsidRPr="00420029" w:rsidRDefault="001D6575" w:rsidP="00645973">
            <w:pPr>
              <w:jc w:val="center"/>
              <w:rPr>
                <w:rFonts w:ascii="Arial" w:hAnsi="Arial" w:cs="Arial"/>
                <w:color w:val="FFFFFF"/>
                <w:spacing w:val="14"/>
                <w:sz w:val="18"/>
                <w:szCs w:val="18"/>
                <w:shd w:val="clear" w:color="auto" w:fill="FE0000"/>
                <w:lang w:val="en-US"/>
              </w:rPr>
            </w:pPr>
            <w:r>
              <w:rPr>
                <w:rFonts w:ascii="Arial" w:hAnsi="Arial" w:cs="Arial"/>
                <w:color w:val="FFFFFF"/>
                <w:sz w:val="18"/>
                <w:szCs w:val="18"/>
                <w:shd w:val="clear" w:color="auto" w:fill="FE0000"/>
                <w:lang w:val="en-GB"/>
              </w:rPr>
              <w:t>in keeping with Section 14 of the German Ordinance of Hazardous Substances</w:t>
            </w:r>
          </w:p>
        </w:tc>
      </w:tr>
      <w:tr w:rsidR="001D6575" w:rsidRPr="00F92A57" w:rsidTr="00F83C6B">
        <w:tc>
          <w:tcPr>
            <w:tcW w:w="2025" w:type="dxa"/>
            <w:tcBorders>
              <w:bottom w:val="single" w:sz="4" w:space="0" w:color="auto"/>
            </w:tcBorders>
            <w:shd w:val="clear" w:color="auto" w:fill="auto"/>
          </w:tcPr>
          <w:p w:rsidR="001D6575" w:rsidRPr="00F92A57" w:rsidRDefault="001D6575" w:rsidP="00C839E1">
            <w:pPr>
              <w:rPr>
                <w:rFonts w:ascii="Arial" w:hAnsi="Arial" w:cs="Arial"/>
                <w:b/>
                <w:sz w:val="20"/>
                <w:szCs w:val="20"/>
                <w:lang w:val="en-US"/>
              </w:rPr>
            </w:pPr>
            <w:bookmarkStart w:id="0" w:name="_GoBack"/>
            <w:r w:rsidRPr="00F92A57">
              <w:rPr>
                <w:rFonts w:ascii="Arial" w:hAnsi="Arial" w:cs="Arial"/>
                <w:b/>
                <w:bCs/>
                <w:sz w:val="20"/>
                <w:szCs w:val="20"/>
                <w:lang w:val="en-GB"/>
              </w:rPr>
              <w:t>Work area:</w:t>
            </w:r>
          </w:p>
          <w:p w:rsidR="001D6575" w:rsidRPr="00F92A57" w:rsidRDefault="001D6575" w:rsidP="00C839E1">
            <w:pPr>
              <w:rPr>
                <w:rFonts w:ascii="Arial" w:hAnsi="Arial" w:cs="Arial"/>
                <w:b/>
                <w:sz w:val="20"/>
                <w:szCs w:val="20"/>
                <w:lang w:val="en-US"/>
              </w:rPr>
            </w:pPr>
            <w:r w:rsidRPr="00F92A57">
              <w:rPr>
                <w:rFonts w:ascii="Arial" w:hAnsi="Arial" w:cs="Arial"/>
                <w:b/>
                <w:bCs/>
                <w:sz w:val="20"/>
                <w:szCs w:val="20"/>
                <w:lang w:val="en-GB"/>
              </w:rPr>
              <w:t>Workplace:</w:t>
            </w:r>
          </w:p>
          <w:p w:rsidR="001D6575" w:rsidRPr="00420029" w:rsidRDefault="001D6575" w:rsidP="00C839E1">
            <w:pPr>
              <w:rPr>
                <w:rFonts w:ascii="Arial" w:hAnsi="Arial" w:cs="Arial"/>
                <w:lang w:val="en-US"/>
              </w:rPr>
            </w:pPr>
            <w:r w:rsidRPr="00F92A57">
              <w:rPr>
                <w:rFonts w:ascii="Arial" w:hAnsi="Arial" w:cs="Arial"/>
                <w:b/>
                <w:bCs/>
                <w:sz w:val="20"/>
                <w:szCs w:val="20"/>
                <w:lang w:val="en-GB"/>
              </w:rPr>
              <w:t>Field of activity:</w:t>
            </w:r>
            <w:bookmarkEnd w:id="0"/>
          </w:p>
        </w:tc>
        <w:tc>
          <w:tcPr>
            <w:tcW w:w="7263" w:type="dxa"/>
            <w:tcBorders>
              <w:bottom w:val="single" w:sz="4" w:space="0" w:color="auto"/>
            </w:tcBorders>
            <w:shd w:val="clear" w:color="auto" w:fill="auto"/>
          </w:tcPr>
          <w:p w:rsidR="001D6575" w:rsidRPr="00420029" w:rsidRDefault="001D6575" w:rsidP="00C839E1">
            <w:pPr>
              <w:rPr>
                <w:rFonts w:ascii="Arial" w:hAnsi="Arial" w:cs="Arial"/>
                <w:lang w:val="en-US"/>
              </w:rPr>
            </w:pP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n-GB"/>
              </w:rPr>
              <w:t>Designation of hazardous substances</w:t>
            </w:r>
          </w:p>
        </w:tc>
      </w:tr>
      <w:tr w:rsidR="001D6575" w:rsidRPr="00F83C6B" w:rsidTr="00F83C6B">
        <w:tc>
          <w:tcPr>
            <w:tcW w:w="9288" w:type="dxa"/>
            <w:gridSpan w:val="2"/>
            <w:tcBorders>
              <w:bottom w:val="single" w:sz="4" w:space="0" w:color="auto"/>
            </w:tcBorders>
            <w:shd w:val="clear" w:color="auto" w:fill="auto"/>
          </w:tcPr>
          <w:p w:rsidR="001D6575" w:rsidRPr="00F83C6B" w:rsidRDefault="00D44CEF" w:rsidP="00F83C6B">
            <w:pPr>
              <w:jc w:val="center"/>
              <w:rPr>
                <w:rFonts w:ascii="Arial" w:hAnsi="Arial" w:cs="Arial"/>
                <w:b/>
                <w:bCs/>
                <w:spacing w:val="2"/>
                <w:sz w:val="40"/>
                <w:szCs w:val="40"/>
              </w:rPr>
            </w:pPr>
            <w:proofErr w:type="spellStart"/>
            <w:r>
              <w:rPr>
                <w:rFonts w:ascii="Helvetica-Bold" w:hAnsi="Helvetica-Bold" w:cs="Helvetica-Bold"/>
                <w:b/>
                <w:bCs/>
                <w:sz w:val="40"/>
                <w:szCs w:val="40"/>
                <w:lang w:val="en-GB"/>
              </w:rPr>
              <w:t>Cleanet</w:t>
            </w:r>
            <w:proofErr w:type="spellEnd"/>
            <w:r>
              <w:rPr>
                <w:rFonts w:ascii="Helvetica-Bold" w:hAnsi="Helvetica-Bold" w:cs="Helvetica-Bold"/>
                <w:b/>
                <w:bCs/>
                <w:sz w:val="40"/>
                <w:szCs w:val="40"/>
                <w:vertAlign w:val="superscript"/>
                <w:lang w:val="en-GB"/>
              </w:rPr>
              <w:t>®</w:t>
            </w:r>
            <w:r>
              <w:rPr>
                <w:rFonts w:ascii="Helvetica-Bold" w:hAnsi="Helvetica-Bold" w:cs="Helvetica-Bold"/>
                <w:b/>
                <w:bCs/>
                <w:sz w:val="40"/>
                <w:szCs w:val="40"/>
                <w:lang w:val="en-GB"/>
              </w:rPr>
              <w:t xml:space="preserve"> OR 6</w:t>
            </w:r>
          </w:p>
        </w:tc>
      </w:tr>
      <w:tr w:rsidR="001D6575" w:rsidRPr="00F92A57" w:rsidTr="00F83C6B">
        <w:tc>
          <w:tcPr>
            <w:tcW w:w="9288" w:type="dxa"/>
            <w:gridSpan w:val="2"/>
            <w:shd w:val="clear" w:color="auto" w:fill="FF0000"/>
          </w:tcPr>
          <w:p w:rsidR="001D6575" w:rsidRPr="00420029"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n-GB"/>
              </w:rPr>
              <w:t>Hazards to man and the environment</w:t>
            </w:r>
          </w:p>
        </w:tc>
      </w:tr>
      <w:tr w:rsidR="001D6575" w:rsidRPr="00F92A57" w:rsidTr="00F83C6B">
        <w:trPr>
          <w:trHeight w:val="701"/>
        </w:trPr>
        <w:tc>
          <w:tcPr>
            <w:tcW w:w="2025" w:type="dxa"/>
            <w:tcBorders>
              <w:bottom w:val="single" w:sz="4" w:space="0" w:color="auto"/>
            </w:tcBorders>
            <w:shd w:val="clear" w:color="auto" w:fill="auto"/>
          </w:tcPr>
          <w:p w:rsidR="001E2CF2" w:rsidRPr="00420029" w:rsidRDefault="001E2CF2" w:rsidP="00D44CEF">
            <w:pPr>
              <w:rPr>
                <w:rFonts w:ascii="Arial" w:hAnsi="Arial" w:cs="Arial"/>
                <w:lang w:val="en-US"/>
              </w:rPr>
            </w:pPr>
          </w:p>
        </w:tc>
        <w:tc>
          <w:tcPr>
            <w:tcW w:w="7263" w:type="dxa"/>
            <w:tcBorders>
              <w:bottom w:val="single" w:sz="4" w:space="0" w:color="auto"/>
            </w:tcBorders>
            <w:shd w:val="clear" w:color="auto" w:fill="auto"/>
          </w:tcPr>
          <w:p w:rsidR="001E2CF2" w:rsidRPr="00420029" w:rsidRDefault="00D44CEF" w:rsidP="00645973">
            <w:pPr>
              <w:rPr>
                <w:rFonts w:ascii="Arial" w:hAnsi="Arial" w:cs="Arial"/>
                <w:spacing w:val="2"/>
                <w:sz w:val="18"/>
                <w:szCs w:val="18"/>
                <w:lang w:val="en-US"/>
              </w:rPr>
            </w:pPr>
            <w:r>
              <w:rPr>
                <w:rFonts w:ascii="Arial" w:hAnsi="Arial" w:cs="Arial"/>
                <w:sz w:val="18"/>
                <w:szCs w:val="18"/>
                <w:lang w:val="en-GB"/>
              </w:rPr>
              <w:t>Harmful to aquatic organisms, with long-term effects.</w:t>
            </w:r>
          </w:p>
        </w:tc>
      </w:tr>
      <w:tr w:rsidR="001D6575" w:rsidRPr="00F92A57" w:rsidTr="00F83C6B">
        <w:trPr>
          <w:trHeight w:val="248"/>
        </w:trPr>
        <w:tc>
          <w:tcPr>
            <w:tcW w:w="9288" w:type="dxa"/>
            <w:gridSpan w:val="2"/>
            <w:shd w:val="clear" w:color="auto" w:fill="FF0000"/>
          </w:tcPr>
          <w:p w:rsidR="001D6575" w:rsidRPr="00420029"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n-GB"/>
              </w:rPr>
              <w:t>Protective measures and rules of conduct</w:t>
            </w:r>
          </w:p>
        </w:tc>
      </w:tr>
      <w:tr w:rsidR="001D6575" w:rsidRPr="00F83C6B" w:rsidTr="00F83C6B">
        <w:tc>
          <w:tcPr>
            <w:tcW w:w="2025" w:type="dxa"/>
            <w:tcBorders>
              <w:bottom w:val="single" w:sz="4" w:space="0" w:color="auto"/>
            </w:tcBorders>
            <w:shd w:val="clear" w:color="auto" w:fill="auto"/>
          </w:tcPr>
          <w:p w:rsidR="00232051" w:rsidRPr="00F83C6B" w:rsidRDefault="00D44CEF" w:rsidP="00AE17C9">
            <w:pPr>
              <w:rPr>
                <w:rFonts w:ascii="Arial" w:hAnsi="Arial" w:cs="Arial"/>
              </w:rPr>
            </w:pPr>
            <w:r>
              <w:rPr>
                <w:noProof/>
                <w:lang w:val="en-GB"/>
              </w:rPr>
              <w:drawing>
                <wp:inline distT="0" distB="0" distL="0" distR="0">
                  <wp:extent cx="523875" cy="523875"/>
                  <wp:effectExtent l="0" t="0" r="9525" b="952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63" w:type="dxa"/>
            <w:tcBorders>
              <w:bottom w:val="single" w:sz="4" w:space="0" w:color="auto"/>
            </w:tcBorders>
            <w:shd w:val="clear" w:color="auto" w:fill="auto"/>
          </w:tcPr>
          <w:p w:rsidR="001D6575" w:rsidRPr="00F54AD6" w:rsidRDefault="00D44CEF" w:rsidP="00D44CEF">
            <w:pPr>
              <w:jc w:val="both"/>
              <w:rPr>
                <w:rFonts w:ascii="Arial" w:hAnsi="Arial" w:cs="Arial"/>
                <w:spacing w:val="2"/>
                <w:sz w:val="20"/>
                <w:szCs w:val="20"/>
              </w:rPr>
            </w:pPr>
            <w:r>
              <w:rPr>
                <w:rFonts w:ascii="Arial" w:hAnsi="Arial" w:cs="Arial"/>
                <w:sz w:val="20"/>
                <w:szCs w:val="20"/>
                <w:lang w:val="en-GB"/>
              </w:rPr>
              <w:t>Ensure very good ventilation of the workplace. Do not smoke, eat or drink in work and storage rooms. Also do not store food, drinks or tobacco. Report any malfunction immediately to your supervisor. Carry out repairs properly and with caution. Pipelines must be completely drained. Only transport fragile containers with the substance using an outer container (e.g. plastic bucket with handle). Only decant into clean and lye resistant containers.</w:t>
            </w:r>
          </w:p>
        </w:tc>
      </w:tr>
      <w:tr w:rsidR="001D6575" w:rsidRPr="00F92A57" w:rsidTr="00F83C6B">
        <w:tc>
          <w:tcPr>
            <w:tcW w:w="9288" w:type="dxa"/>
            <w:gridSpan w:val="2"/>
            <w:shd w:val="clear" w:color="auto" w:fill="FF0000"/>
          </w:tcPr>
          <w:p w:rsidR="001D6575" w:rsidRPr="00420029"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n-GB"/>
              </w:rPr>
              <w:t>Behaviour in case of danger</w:t>
            </w:r>
          </w:p>
        </w:tc>
      </w:tr>
      <w:tr w:rsidR="001D6575" w:rsidRPr="00F92A57" w:rsidTr="00F83C6B">
        <w:tc>
          <w:tcPr>
            <w:tcW w:w="2025" w:type="dxa"/>
            <w:tcBorders>
              <w:bottom w:val="single" w:sz="4" w:space="0" w:color="auto"/>
            </w:tcBorders>
            <w:shd w:val="clear" w:color="auto" w:fill="auto"/>
          </w:tcPr>
          <w:p w:rsidR="009E4313" w:rsidRPr="00420029" w:rsidRDefault="009E4313" w:rsidP="00C839E1">
            <w:pPr>
              <w:rPr>
                <w:noProof/>
                <w:lang w:val="en-US"/>
              </w:rPr>
            </w:pPr>
          </w:p>
          <w:p w:rsidR="001D6575" w:rsidRPr="00420029" w:rsidRDefault="001D6575" w:rsidP="00C839E1">
            <w:pPr>
              <w:rPr>
                <w:rFonts w:ascii="Arial" w:hAnsi="Arial" w:cs="Arial"/>
                <w:lang w:val="en-US"/>
              </w:rPr>
            </w:pPr>
          </w:p>
        </w:tc>
        <w:tc>
          <w:tcPr>
            <w:tcW w:w="7263" w:type="dxa"/>
            <w:tcBorders>
              <w:bottom w:val="single" w:sz="4" w:space="0" w:color="auto"/>
            </w:tcBorders>
            <w:shd w:val="clear" w:color="auto" w:fill="auto"/>
          </w:tcPr>
          <w:p w:rsidR="001D6575" w:rsidRPr="00420029" w:rsidRDefault="00D44CEF" w:rsidP="00AE17C9">
            <w:pPr>
              <w:jc w:val="both"/>
              <w:rPr>
                <w:rFonts w:ascii="Arial" w:hAnsi="Arial" w:cs="Arial"/>
                <w:spacing w:val="2"/>
                <w:sz w:val="18"/>
                <w:szCs w:val="18"/>
                <w:lang w:val="en-US"/>
              </w:rPr>
            </w:pPr>
            <w:r>
              <w:rPr>
                <w:rFonts w:ascii="Arial" w:hAnsi="Arial" w:cs="Arial"/>
                <w:sz w:val="20"/>
                <w:szCs w:val="20"/>
                <w:lang w:val="en-GB"/>
              </w:rPr>
              <w:t xml:space="preserve">In the event of </w:t>
            </w:r>
            <w:proofErr w:type="gramStart"/>
            <w:r>
              <w:rPr>
                <w:rFonts w:ascii="Arial" w:hAnsi="Arial" w:cs="Arial"/>
                <w:sz w:val="20"/>
                <w:szCs w:val="20"/>
                <w:lang w:val="en-GB"/>
              </w:rPr>
              <w:t>fire-fighting</w:t>
            </w:r>
            <w:proofErr w:type="gramEnd"/>
            <w:r>
              <w:rPr>
                <w:rFonts w:ascii="Arial" w:hAnsi="Arial" w:cs="Arial"/>
                <w:sz w:val="20"/>
                <w:szCs w:val="20"/>
                <w:lang w:val="en-GB"/>
              </w:rPr>
              <w:t>, strictly follow operating instructions.</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n-GB"/>
              </w:rPr>
              <w:t>First aid</w:t>
            </w:r>
          </w:p>
        </w:tc>
      </w:tr>
      <w:tr w:rsidR="00044630" w:rsidRPr="00F83C6B" w:rsidTr="00F83C6B">
        <w:tc>
          <w:tcPr>
            <w:tcW w:w="2025" w:type="dxa"/>
            <w:vMerge w:val="restart"/>
            <w:shd w:val="clear" w:color="auto" w:fill="auto"/>
          </w:tcPr>
          <w:p w:rsidR="00044630" w:rsidRPr="00F83C6B" w:rsidRDefault="00D44CEF" w:rsidP="00C839E1">
            <w:pPr>
              <w:rPr>
                <w:rFonts w:ascii="Arial" w:hAnsi="Arial" w:cs="Arial"/>
              </w:rPr>
            </w:pPr>
            <w:r>
              <w:rPr>
                <w:noProof/>
                <w:lang w:val="en-GB"/>
              </w:rPr>
              <w:drawing>
                <wp:inline distT="0" distB="0" distL="0" distR="0">
                  <wp:extent cx="466725" cy="4667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263" w:type="dxa"/>
            <w:shd w:val="clear" w:color="auto" w:fill="auto"/>
          </w:tcPr>
          <w:p w:rsidR="00044630" w:rsidRDefault="00044630" w:rsidP="00645973">
            <w:pPr>
              <w:jc w:val="both"/>
              <w:rPr>
                <w:rFonts w:ascii="Arial" w:hAnsi="Arial" w:cs="Arial"/>
                <w:spacing w:val="2"/>
                <w:sz w:val="20"/>
                <w:szCs w:val="20"/>
              </w:rPr>
            </w:pPr>
          </w:p>
          <w:p w:rsidR="00F54AD6" w:rsidRDefault="00F54AD6" w:rsidP="00645973">
            <w:pPr>
              <w:jc w:val="both"/>
              <w:rPr>
                <w:rFonts w:ascii="Arial" w:hAnsi="Arial" w:cs="Arial"/>
                <w:spacing w:val="2"/>
                <w:sz w:val="20"/>
                <w:szCs w:val="20"/>
              </w:rPr>
            </w:pPr>
          </w:p>
          <w:p w:rsidR="00F54AD6" w:rsidRDefault="001E2CF2" w:rsidP="00645973">
            <w:pPr>
              <w:jc w:val="both"/>
              <w:rPr>
                <w:rFonts w:ascii="Arial" w:hAnsi="Arial" w:cs="Arial"/>
                <w:spacing w:val="2"/>
                <w:sz w:val="20"/>
                <w:szCs w:val="20"/>
              </w:rPr>
            </w:pPr>
            <w:r>
              <w:rPr>
                <w:rFonts w:ascii="Arial" w:hAnsi="Arial" w:cs="Arial"/>
                <w:sz w:val="20"/>
                <w:szCs w:val="20"/>
                <w:lang w:val="en-GB"/>
              </w:rPr>
              <w:t>-</w:t>
            </w:r>
          </w:p>
          <w:p w:rsidR="00F54AD6" w:rsidRDefault="00F54AD6" w:rsidP="00645973">
            <w:pPr>
              <w:jc w:val="both"/>
              <w:rPr>
                <w:rFonts w:ascii="Arial" w:hAnsi="Arial" w:cs="Arial"/>
                <w:spacing w:val="2"/>
                <w:sz w:val="20"/>
                <w:szCs w:val="20"/>
              </w:rPr>
            </w:pPr>
          </w:p>
          <w:p w:rsidR="00F54AD6" w:rsidRPr="00F83C6B" w:rsidRDefault="00F54AD6" w:rsidP="00645973">
            <w:pPr>
              <w:jc w:val="both"/>
              <w:rPr>
                <w:rFonts w:ascii="Arial" w:hAnsi="Arial" w:cs="Arial"/>
                <w:bCs/>
                <w:sz w:val="18"/>
                <w:szCs w:val="18"/>
              </w:rPr>
            </w:pPr>
          </w:p>
        </w:tc>
      </w:tr>
      <w:tr w:rsidR="00044630" w:rsidRPr="00F83C6B" w:rsidTr="00F83C6B">
        <w:tc>
          <w:tcPr>
            <w:tcW w:w="2025" w:type="dxa"/>
            <w:vMerge/>
            <w:shd w:val="clear" w:color="auto" w:fill="auto"/>
          </w:tcPr>
          <w:p w:rsidR="00044630" w:rsidRPr="00F83C6B" w:rsidRDefault="00044630" w:rsidP="00C839E1">
            <w:pPr>
              <w:rPr>
                <w:rFonts w:ascii="Arial" w:hAnsi="Arial" w:cs="Arial"/>
              </w:rPr>
            </w:pPr>
          </w:p>
        </w:tc>
        <w:tc>
          <w:tcPr>
            <w:tcW w:w="7263" w:type="dxa"/>
            <w:shd w:val="clear" w:color="auto" w:fill="auto"/>
          </w:tcPr>
          <w:p w:rsidR="00044630" w:rsidRPr="00420029" w:rsidRDefault="00044630" w:rsidP="00F83C6B">
            <w:pPr>
              <w:jc w:val="both"/>
              <w:rPr>
                <w:rFonts w:ascii="Arial" w:hAnsi="Arial" w:cs="Arial"/>
                <w:b/>
                <w:bCs/>
                <w:sz w:val="18"/>
                <w:szCs w:val="18"/>
                <w:lang w:val="en-US"/>
              </w:rPr>
            </w:pPr>
          </w:p>
          <w:p w:rsidR="00044630" w:rsidRPr="00420029" w:rsidRDefault="00044630" w:rsidP="00F83C6B">
            <w:pPr>
              <w:jc w:val="both"/>
              <w:rPr>
                <w:rFonts w:ascii="Arial" w:hAnsi="Arial" w:cs="Arial"/>
                <w:b/>
                <w:bCs/>
                <w:sz w:val="18"/>
                <w:szCs w:val="18"/>
                <w:lang w:val="en-US"/>
              </w:rPr>
            </w:pPr>
            <w:r>
              <w:rPr>
                <w:rFonts w:ascii="Arial" w:hAnsi="Arial" w:cs="Arial"/>
                <w:b/>
                <w:bCs/>
                <w:sz w:val="18"/>
                <w:szCs w:val="18"/>
                <w:lang w:val="en-GB"/>
              </w:rPr>
              <w:t xml:space="preserve">In case of an emergency: </w:t>
            </w:r>
          </w:p>
          <w:p w:rsidR="00044630" w:rsidRPr="00420029" w:rsidRDefault="00044630" w:rsidP="00F83C6B">
            <w:pPr>
              <w:jc w:val="both"/>
              <w:rPr>
                <w:rFonts w:ascii="Arial" w:hAnsi="Arial" w:cs="Arial"/>
                <w:b/>
                <w:bCs/>
                <w:sz w:val="18"/>
                <w:szCs w:val="18"/>
                <w:lang w:val="en-US"/>
              </w:rPr>
            </w:pPr>
          </w:p>
          <w:p w:rsidR="00044630" w:rsidRPr="00420029" w:rsidRDefault="00044630" w:rsidP="00F83C6B">
            <w:pPr>
              <w:jc w:val="both"/>
              <w:rPr>
                <w:rFonts w:ascii="Arial" w:hAnsi="Arial" w:cs="Arial"/>
                <w:b/>
                <w:bCs/>
                <w:spacing w:val="-2"/>
                <w:sz w:val="18"/>
                <w:szCs w:val="18"/>
                <w:lang w:val="en-US"/>
              </w:rPr>
            </w:pPr>
            <w:r>
              <w:rPr>
                <w:rFonts w:ascii="Arial" w:hAnsi="Arial" w:cs="Arial"/>
                <w:b/>
                <w:bCs/>
                <w:sz w:val="18"/>
                <w:szCs w:val="18"/>
                <w:lang w:val="en-GB"/>
              </w:rPr>
              <w:t xml:space="preserve">First responder </w:t>
            </w:r>
            <w:r w:rsidR="00420029">
              <w:rPr>
                <w:rFonts w:ascii="Arial" w:hAnsi="Arial" w:cs="Arial"/>
                <w:b/>
                <w:bCs/>
                <w:sz w:val="18"/>
                <w:szCs w:val="18"/>
                <w:lang w:val="en-GB"/>
              </w:rPr>
              <w:t>A</w:t>
            </w:r>
            <w:r>
              <w:rPr>
                <w:rFonts w:ascii="Arial" w:hAnsi="Arial" w:cs="Arial"/>
                <w:b/>
                <w:bCs/>
                <w:sz w:val="18"/>
                <w:szCs w:val="18"/>
                <w:lang w:val="en-GB"/>
              </w:rPr>
              <w:t>ttending physician</w:t>
            </w:r>
          </w:p>
          <w:p w:rsidR="00044630" w:rsidRPr="00420029" w:rsidRDefault="00044630" w:rsidP="00C839E1">
            <w:pPr>
              <w:rPr>
                <w:rFonts w:ascii="Arial" w:hAnsi="Arial" w:cs="Arial"/>
                <w:b/>
                <w:bCs/>
                <w:sz w:val="18"/>
                <w:szCs w:val="18"/>
                <w:lang w:val="en-US"/>
              </w:rPr>
            </w:pPr>
            <w:r>
              <w:rPr>
                <w:rFonts w:ascii="Arial" w:hAnsi="Arial" w:cs="Arial"/>
                <w:b/>
                <w:bCs/>
                <w:sz w:val="18"/>
                <w:szCs w:val="18"/>
                <w:lang w:val="en-GB"/>
              </w:rPr>
              <w:t>Emergency call</w:t>
            </w:r>
          </w:p>
          <w:p w:rsidR="00044630" w:rsidRPr="00F83C6B" w:rsidRDefault="00044630" w:rsidP="00C839E1">
            <w:pPr>
              <w:rPr>
                <w:rFonts w:ascii="Arial" w:hAnsi="Arial" w:cs="Arial"/>
                <w:bCs/>
                <w:sz w:val="18"/>
                <w:szCs w:val="18"/>
              </w:rPr>
            </w:pPr>
            <w:r>
              <w:rPr>
                <w:rFonts w:ascii="Arial" w:hAnsi="Arial" w:cs="Arial"/>
                <w:b/>
                <w:bCs/>
                <w:sz w:val="18"/>
                <w:szCs w:val="18"/>
                <w:lang w:val="en-GB"/>
              </w:rPr>
              <w:t>Fire brigade</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n-GB"/>
              </w:rPr>
              <w:t>Proper disposal</w:t>
            </w:r>
          </w:p>
        </w:tc>
      </w:tr>
      <w:tr w:rsidR="0048189E" w:rsidRPr="00F83C6B" w:rsidTr="00F83C6B">
        <w:tc>
          <w:tcPr>
            <w:tcW w:w="2025" w:type="dxa"/>
            <w:vMerge w:val="restart"/>
            <w:shd w:val="clear" w:color="auto" w:fill="auto"/>
          </w:tcPr>
          <w:p w:rsidR="0048189E" w:rsidRPr="00F83C6B" w:rsidRDefault="00D44CEF" w:rsidP="00C839E1">
            <w:pPr>
              <w:rPr>
                <w:rFonts w:ascii="Arial" w:hAnsi="Arial" w:cs="Arial"/>
              </w:rPr>
            </w:pPr>
            <w:r>
              <w:rPr>
                <w:rFonts w:ascii="Arial" w:hAnsi="Arial" w:cs="Arial"/>
                <w:noProof/>
                <w:lang w:val="en-GB"/>
              </w:rPr>
              <w:drawing>
                <wp:inline distT="0" distB="0" distL="0" distR="0">
                  <wp:extent cx="1152525" cy="466725"/>
                  <wp:effectExtent l="0" t="0" r="9525" b="9525"/>
                  <wp:docPr id="11" name="Bild 11"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263" w:type="dxa"/>
            <w:shd w:val="clear" w:color="auto" w:fill="auto"/>
          </w:tcPr>
          <w:p w:rsidR="0048189E" w:rsidRDefault="0048189E" w:rsidP="00645973">
            <w:pPr>
              <w:jc w:val="both"/>
              <w:rPr>
                <w:rFonts w:ascii="Arial" w:hAnsi="Arial" w:cs="Arial"/>
                <w:sz w:val="20"/>
                <w:szCs w:val="20"/>
              </w:rPr>
            </w:pPr>
          </w:p>
          <w:p w:rsidR="00F54AD6" w:rsidRDefault="001E2CF2" w:rsidP="00645973">
            <w:pPr>
              <w:jc w:val="both"/>
              <w:rPr>
                <w:rFonts w:ascii="Arial" w:hAnsi="Arial" w:cs="Arial"/>
                <w:sz w:val="20"/>
                <w:szCs w:val="20"/>
              </w:rPr>
            </w:pPr>
            <w:r>
              <w:rPr>
                <w:rFonts w:ascii="Arial" w:hAnsi="Arial" w:cs="Arial"/>
                <w:sz w:val="20"/>
                <w:szCs w:val="20"/>
                <w:lang w:val="en-GB"/>
              </w:rPr>
              <w:t>-</w:t>
            </w:r>
          </w:p>
          <w:p w:rsidR="00F54AD6" w:rsidRDefault="00F54AD6" w:rsidP="00645973">
            <w:pPr>
              <w:jc w:val="both"/>
              <w:rPr>
                <w:rFonts w:ascii="Arial" w:hAnsi="Arial" w:cs="Arial"/>
                <w:sz w:val="20"/>
                <w:szCs w:val="20"/>
              </w:rPr>
            </w:pPr>
          </w:p>
          <w:p w:rsidR="00F54AD6" w:rsidRDefault="00F54AD6" w:rsidP="00645973">
            <w:pPr>
              <w:jc w:val="both"/>
              <w:rPr>
                <w:rFonts w:ascii="Arial" w:hAnsi="Arial" w:cs="Arial"/>
                <w:sz w:val="20"/>
                <w:szCs w:val="20"/>
              </w:rPr>
            </w:pPr>
          </w:p>
          <w:p w:rsidR="00F54AD6" w:rsidRPr="00F83C6B" w:rsidRDefault="00F54AD6" w:rsidP="00645973">
            <w:pPr>
              <w:jc w:val="both"/>
              <w:rPr>
                <w:rFonts w:ascii="Arial" w:hAnsi="Arial" w:cs="Arial"/>
                <w:bCs/>
                <w:spacing w:val="-2"/>
                <w:sz w:val="18"/>
                <w:szCs w:val="18"/>
              </w:rPr>
            </w:pPr>
          </w:p>
        </w:tc>
      </w:tr>
      <w:tr w:rsidR="0048189E" w:rsidRPr="00F92A57" w:rsidTr="00F83C6B">
        <w:tc>
          <w:tcPr>
            <w:tcW w:w="2025" w:type="dxa"/>
            <w:vMerge/>
            <w:shd w:val="clear" w:color="auto" w:fill="auto"/>
          </w:tcPr>
          <w:p w:rsidR="0048189E" w:rsidRPr="00F83C6B" w:rsidRDefault="0048189E" w:rsidP="00C839E1">
            <w:pPr>
              <w:rPr>
                <w:rFonts w:ascii="Arial" w:hAnsi="Arial" w:cs="Arial"/>
              </w:rPr>
            </w:pPr>
          </w:p>
        </w:tc>
        <w:tc>
          <w:tcPr>
            <w:tcW w:w="7263" w:type="dxa"/>
            <w:shd w:val="clear" w:color="auto" w:fill="auto"/>
          </w:tcPr>
          <w:p w:rsidR="0048189E" w:rsidRPr="00420029" w:rsidRDefault="0048189E" w:rsidP="00C839E1">
            <w:pPr>
              <w:rPr>
                <w:rFonts w:ascii="Arial" w:hAnsi="Arial" w:cs="Arial"/>
                <w:b/>
                <w:bCs/>
                <w:sz w:val="18"/>
                <w:szCs w:val="18"/>
                <w:lang w:val="en-US"/>
              </w:rPr>
            </w:pPr>
          </w:p>
          <w:p w:rsidR="0048189E" w:rsidRPr="00420029" w:rsidRDefault="0048189E" w:rsidP="00C839E1">
            <w:pPr>
              <w:rPr>
                <w:rFonts w:ascii="Arial" w:hAnsi="Arial" w:cs="Arial"/>
                <w:b/>
                <w:bCs/>
                <w:sz w:val="18"/>
                <w:szCs w:val="18"/>
                <w:lang w:val="en-US"/>
              </w:rPr>
            </w:pPr>
            <w:r>
              <w:rPr>
                <w:rFonts w:ascii="Arial" w:hAnsi="Arial" w:cs="Arial"/>
                <w:sz w:val="18"/>
                <w:szCs w:val="18"/>
                <w:lang w:val="en-GB"/>
              </w:rPr>
              <w:tab/>
            </w:r>
            <w:r>
              <w:rPr>
                <w:rFonts w:ascii="Arial" w:hAnsi="Arial" w:cs="Arial"/>
                <w:sz w:val="18"/>
                <w:szCs w:val="18"/>
                <w:lang w:val="en-GB"/>
              </w:rPr>
              <w:tab/>
            </w:r>
            <w:r>
              <w:rPr>
                <w:rFonts w:ascii="Arial" w:hAnsi="Arial" w:cs="Arial"/>
                <w:b/>
                <w:bCs/>
                <w:sz w:val="18"/>
                <w:szCs w:val="18"/>
                <w:lang w:val="en-GB"/>
              </w:rPr>
              <w:t>Preparation</w:t>
            </w:r>
            <w:r>
              <w:rPr>
                <w:rFonts w:ascii="Arial" w:hAnsi="Arial" w:cs="Arial"/>
                <w:sz w:val="18"/>
                <w:szCs w:val="18"/>
                <w:lang w:val="en-GB"/>
              </w:rPr>
              <w:tab/>
            </w:r>
            <w:r>
              <w:rPr>
                <w:rFonts w:ascii="Arial" w:hAnsi="Arial" w:cs="Arial"/>
                <w:sz w:val="18"/>
                <w:szCs w:val="18"/>
                <w:lang w:val="en-GB"/>
              </w:rPr>
              <w:tab/>
            </w:r>
            <w:r>
              <w:rPr>
                <w:rFonts w:ascii="Arial" w:hAnsi="Arial" w:cs="Arial"/>
                <w:b/>
                <w:bCs/>
                <w:sz w:val="18"/>
                <w:szCs w:val="18"/>
                <w:lang w:val="en-GB"/>
              </w:rPr>
              <w:t>Testing</w:t>
            </w:r>
            <w:r>
              <w:rPr>
                <w:rFonts w:ascii="Arial" w:hAnsi="Arial" w:cs="Arial"/>
                <w:sz w:val="18"/>
                <w:szCs w:val="18"/>
                <w:lang w:val="en-GB"/>
              </w:rPr>
              <w:tab/>
            </w:r>
            <w:r>
              <w:rPr>
                <w:rFonts w:ascii="Arial" w:hAnsi="Arial" w:cs="Arial"/>
                <w:sz w:val="18"/>
                <w:szCs w:val="18"/>
                <w:lang w:val="en-GB"/>
              </w:rPr>
              <w:tab/>
            </w:r>
            <w:r>
              <w:rPr>
                <w:rFonts w:ascii="Arial" w:hAnsi="Arial" w:cs="Arial"/>
                <w:b/>
                <w:bCs/>
                <w:sz w:val="18"/>
                <w:szCs w:val="18"/>
                <w:lang w:val="en-GB"/>
              </w:rPr>
              <w:t>Release</w:t>
            </w:r>
          </w:p>
          <w:p w:rsidR="0048189E" w:rsidRPr="00420029" w:rsidRDefault="0048189E" w:rsidP="00C839E1">
            <w:pPr>
              <w:rPr>
                <w:rFonts w:ascii="Arial" w:hAnsi="Arial" w:cs="Arial"/>
                <w:b/>
                <w:bCs/>
                <w:sz w:val="18"/>
                <w:szCs w:val="18"/>
                <w:lang w:val="en-US"/>
              </w:rPr>
            </w:pPr>
          </w:p>
          <w:p w:rsidR="0048189E" w:rsidRPr="00420029" w:rsidRDefault="0048189E" w:rsidP="00C839E1">
            <w:pPr>
              <w:rPr>
                <w:rFonts w:ascii="Arial" w:hAnsi="Arial" w:cs="Arial"/>
                <w:b/>
                <w:bCs/>
                <w:sz w:val="18"/>
                <w:szCs w:val="18"/>
                <w:lang w:val="en-US"/>
              </w:rPr>
            </w:pPr>
            <w:r>
              <w:rPr>
                <w:rFonts w:ascii="Arial" w:hAnsi="Arial" w:cs="Arial"/>
                <w:b/>
                <w:bCs/>
                <w:sz w:val="18"/>
                <w:szCs w:val="18"/>
                <w:lang w:val="en-GB"/>
              </w:rPr>
              <w:t>Date</w:t>
            </w:r>
          </w:p>
          <w:p w:rsidR="0048189E" w:rsidRPr="00420029" w:rsidRDefault="0048189E" w:rsidP="00C839E1">
            <w:pPr>
              <w:rPr>
                <w:rFonts w:ascii="Arial" w:hAnsi="Arial" w:cs="Arial"/>
                <w:b/>
                <w:bCs/>
                <w:sz w:val="18"/>
                <w:szCs w:val="18"/>
                <w:lang w:val="en-US"/>
              </w:rPr>
            </w:pPr>
            <w:r>
              <w:rPr>
                <w:rFonts w:ascii="Arial" w:hAnsi="Arial" w:cs="Arial"/>
                <w:b/>
                <w:bCs/>
                <w:sz w:val="18"/>
                <w:szCs w:val="18"/>
                <w:lang w:val="en-GB"/>
              </w:rPr>
              <w:t>Name</w:t>
            </w:r>
          </w:p>
          <w:p w:rsidR="0048189E" w:rsidRPr="00420029" w:rsidRDefault="0048189E" w:rsidP="00C839E1">
            <w:pPr>
              <w:rPr>
                <w:rFonts w:ascii="Arial" w:hAnsi="Arial" w:cs="Arial"/>
                <w:bCs/>
                <w:spacing w:val="-2"/>
                <w:sz w:val="18"/>
                <w:szCs w:val="18"/>
                <w:lang w:val="en-US"/>
              </w:rPr>
            </w:pPr>
            <w:r>
              <w:rPr>
                <w:rFonts w:ascii="Arial" w:hAnsi="Arial" w:cs="Arial"/>
                <w:b/>
                <w:bCs/>
                <w:sz w:val="18"/>
                <w:szCs w:val="18"/>
                <w:lang w:val="en-GB"/>
              </w:rPr>
              <w:t>Signature</w:t>
            </w:r>
          </w:p>
        </w:tc>
      </w:tr>
    </w:tbl>
    <w:p w:rsidR="00D664D0" w:rsidRPr="00420029" w:rsidRDefault="00D664D0" w:rsidP="00C839E1">
      <w:pPr>
        <w:rPr>
          <w:rFonts w:ascii="Arial" w:hAnsi="Arial" w:cs="Arial"/>
          <w:lang w:val="en-US"/>
        </w:rPr>
      </w:pPr>
    </w:p>
    <w:sectPr w:rsidR="00D664D0" w:rsidRPr="00420029" w:rsidSect="005F5D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CEF"/>
    <w:rsid w:val="00044630"/>
    <w:rsid w:val="001477D0"/>
    <w:rsid w:val="001D6575"/>
    <w:rsid w:val="001E2CF2"/>
    <w:rsid w:val="001F58AF"/>
    <w:rsid w:val="00232051"/>
    <w:rsid w:val="00290FA6"/>
    <w:rsid w:val="003B1A62"/>
    <w:rsid w:val="003B4F1C"/>
    <w:rsid w:val="00420029"/>
    <w:rsid w:val="0048189E"/>
    <w:rsid w:val="004B4916"/>
    <w:rsid w:val="005B5D41"/>
    <w:rsid w:val="005F5D24"/>
    <w:rsid w:val="00645973"/>
    <w:rsid w:val="00674E04"/>
    <w:rsid w:val="00694DF9"/>
    <w:rsid w:val="006D16BE"/>
    <w:rsid w:val="006F163F"/>
    <w:rsid w:val="007237EE"/>
    <w:rsid w:val="00780741"/>
    <w:rsid w:val="00792B6B"/>
    <w:rsid w:val="0086037E"/>
    <w:rsid w:val="008A7C66"/>
    <w:rsid w:val="008F6C6B"/>
    <w:rsid w:val="00900F60"/>
    <w:rsid w:val="009C3CB5"/>
    <w:rsid w:val="009E4313"/>
    <w:rsid w:val="00A25BB7"/>
    <w:rsid w:val="00AE17C9"/>
    <w:rsid w:val="00B137C4"/>
    <w:rsid w:val="00B74AE7"/>
    <w:rsid w:val="00BF1FF8"/>
    <w:rsid w:val="00C839E1"/>
    <w:rsid w:val="00CF2C6C"/>
    <w:rsid w:val="00D44CEF"/>
    <w:rsid w:val="00D664D0"/>
    <w:rsid w:val="00E904A4"/>
    <w:rsid w:val="00F54AD6"/>
    <w:rsid w:val="00F83C6B"/>
    <w:rsid w:val="00F92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5B5E43-666D-4CFF-A528-DA567D2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ockmeier%20Chemie%20Bielefeld\Verkauf\Reiniger\Innendienst\Simons\Diverses\Vorlage%20Betriebsanweisung%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Betriebsanweisung NEU</Template>
  <TotalTime>0</TotalTime>
  <Pages>1</Pages>
  <Words>148</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Betriebsanweisung</vt:lpstr>
    </vt:vector>
  </TitlesOfParts>
  <Company>Stockmeier Gruppe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Simons, Marcel</dc:creator>
  <cp:lastModifiedBy>contrado_2</cp:lastModifiedBy>
  <cp:revision>3</cp:revision>
  <cp:lastPrinted>2006-02-22T10:13:00Z</cp:lastPrinted>
  <dcterms:created xsi:type="dcterms:W3CDTF">2017-06-07T14:11:00Z</dcterms:created>
  <dcterms:modified xsi:type="dcterms:W3CDTF">2019-05-23T06:59:00Z</dcterms:modified>
</cp:coreProperties>
</file>